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8A" w:rsidRDefault="00B558C9">
      <w:pPr>
        <w:jc w:val="left"/>
        <w:rPr>
          <w:rFonts w:ascii="仿宋" w:eastAsia="仿宋" w:hAnsi="仿宋"/>
          <w:snapToGrid w:val="0"/>
          <w:kern w:val="0"/>
          <w:sz w:val="32"/>
          <w:szCs w:val="32"/>
        </w:rPr>
      </w:pPr>
      <w:r>
        <w:rPr>
          <w:rFonts w:ascii="仿宋" w:eastAsia="仿宋" w:hAnsi="仿宋" w:hint="eastAsia"/>
          <w:snapToGrid w:val="0"/>
          <w:kern w:val="0"/>
          <w:sz w:val="32"/>
          <w:szCs w:val="32"/>
        </w:rPr>
        <w:t>附件：</w:t>
      </w:r>
    </w:p>
    <w:p w:rsidR="00B2188A" w:rsidRDefault="00B558C9">
      <w:pPr>
        <w:spacing w:line="520" w:lineRule="exact"/>
        <w:jc w:val="center"/>
        <w:rPr>
          <w:rFonts w:ascii="宋体" w:hAnsi="宋体"/>
          <w:b/>
          <w:snapToGrid w:val="0"/>
          <w:kern w:val="0"/>
          <w:sz w:val="32"/>
          <w:szCs w:val="28"/>
        </w:rPr>
      </w:pPr>
      <w:r>
        <w:rPr>
          <w:rFonts w:ascii="宋体" w:hAnsi="宋体" w:hint="eastAsia"/>
          <w:b/>
          <w:snapToGrid w:val="0"/>
          <w:kern w:val="0"/>
          <w:sz w:val="32"/>
          <w:szCs w:val="28"/>
        </w:rPr>
        <w:t>绍兴</w:t>
      </w:r>
      <w:proofErr w:type="gramStart"/>
      <w:r>
        <w:rPr>
          <w:rFonts w:ascii="宋体" w:hAnsi="宋体" w:hint="eastAsia"/>
          <w:b/>
          <w:snapToGrid w:val="0"/>
          <w:kern w:val="0"/>
          <w:sz w:val="32"/>
          <w:szCs w:val="28"/>
        </w:rPr>
        <w:t>市危化品</w:t>
      </w:r>
      <w:proofErr w:type="gramEnd"/>
      <w:r>
        <w:rPr>
          <w:rFonts w:ascii="宋体" w:hAnsi="宋体" w:hint="eastAsia"/>
          <w:b/>
          <w:snapToGrid w:val="0"/>
          <w:kern w:val="0"/>
          <w:sz w:val="32"/>
          <w:szCs w:val="28"/>
        </w:rPr>
        <w:t>生产企业</w:t>
      </w:r>
      <w:r>
        <w:rPr>
          <w:rFonts w:ascii="宋体" w:hAnsi="宋体"/>
          <w:b/>
          <w:snapToGrid w:val="0"/>
          <w:kern w:val="0"/>
          <w:sz w:val="32"/>
          <w:szCs w:val="28"/>
        </w:rPr>
        <w:t>安全生产责任保险</w:t>
      </w:r>
    </w:p>
    <w:p w:rsidR="00B2188A" w:rsidRDefault="00B558C9">
      <w:pPr>
        <w:spacing w:line="520" w:lineRule="exact"/>
        <w:jc w:val="center"/>
        <w:rPr>
          <w:rFonts w:ascii="宋体" w:hAnsi="宋体"/>
          <w:b/>
          <w:snapToGrid w:val="0"/>
          <w:kern w:val="0"/>
          <w:sz w:val="32"/>
          <w:szCs w:val="28"/>
        </w:rPr>
      </w:pPr>
      <w:r>
        <w:rPr>
          <w:rFonts w:ascii="宋体" w:hAnsi="宋体"/>
          <w:b/>
          <w:snapToGrid w:val="0"/>
          <w:kern w:val="0"/>
          <w:sz w:val="32"/>
          <w:szCs w:val="28"/>
        </w:rPr>
        <w:t>共保</w:t>
      </w:r>
      <w:proofErr w:type="gramStart"/>
      <w:r>
        <w:rPr>
          <w:rFonts w:ascii="宋体" w:hAnsi="宋体"/>
          <w:b/>
          <w:snapToGrid w:val="0"/>
          <w:kern w:val="0"/>
          <w:sz w:val="32"/>
          <w:szCs w:val="28"/>
        </w:rPr>
        <w:t>体</w:t>
      </w:r>
      <w:r>
        <w:rPr>
          <w:rFonts w:ascii="宋体" w:hAnsi="宋体" w:hint="eastAsia"/>
          <w:b/>
          <w:snapToGrid w:val="0"/>
          <w:kern w:val="0"/>
          <w:sz w:val="32"/>
          <w:szCs w:val="28"/>
        </w:rPr>
        <w:t>成员</w:t>
      </w:r>
      <w:proofErr w:type="gramEnd"/>
      <w:r>
        <w:rPr>
          <w:rFonts w:ascii="宋体" w:hAnsi="宋体" w:hint="eastAsia"/>
          <w:b/>
          <w:snapToGrid w:val="0"/>
          <w:kern w:val="0"/>
          <w:sz w:val="32"/>
          <w:szCs w:val="28"/>
        </w:rPr>
        <w:t>评选评分细则</w:t>
      </w:r>
    </w:p>
    <w:p w:rsidR="00B2188A" w:rsidRDefault="00B2188A">
      <w:pPr>
        <w:spacing w:line="520" w:lineRule="exact"/>
        <w:ind w:firstLineChars="200" w:firstLine="562"/>
        <w:rPr>
          <w:rFonts w:ascii="宋体" w:hAnsi="宋体"/>
          <w:b/>
          <w:snapToGrid w:val="0"/>
          <w:kern w:val="0"/>
          <w:sz w:val="28"/>
          <w:szCs w:val="28"/>
        </w:rPr>
      </w:pPr>
    </w:p>
    <w:p w:rsidR="00B2188A" w:rsidRDefault="00B558C9">
      <w:pPr>
        <w:spacing w:line="520" w:lineRule="exact"/>
        <w:ind w:firstLineChars="200" w:firstLine="562"/>
        <w:rPr>
          <w:rFonts w:ascii="宋体" w:hAnsi="宋体"/>
          <w:b/>
          <w:snapToGrid w:val="0"/>
          <w:kern w:val="0"/>
          <w:sz w:val="28"/>
          <w:szCs w:val="28"/>
        </w:rPr>
      </w:pPr>
      <w:r>
        <w:rPr>
          <w:rFonts w:ascii="宋体" w:hAnsi="宋体" w:hint="eastAsia"/>
          <w:b/>
          <w:snapToGrid w:val="0"/>
          <w:kern w:val="0"/>
          <w:sz w:val="28"/>
          <w:szCs w:val="28"/>
        </w:rPr>
        <w:t>一、保险公司总</w:t>
      </w:r>
      <w:r>
        <w:rPr>
          <w:rFonts w:ascii="宋体" w:hAnsi="宋体"/>
          <w:b/>
          <w:snapToGrid w:val="0"/>
          <w:kern w:val="0"/>
          <w:sz w:val="28"/>
          <w:szCs w:val="28"/>
        </w:rPr>
        <w:t>公司</w:t>
      </w:r>
      <w:r>
        <w:rPr>
          <w:rFonts w:ascii="宋体" w:hAnsi="宋体" w:hint="eastAsia"/>
          <w:b/>
          <w:snapToGrid w:val="0"/>
          <w:kern w:val="0"/>
          <w:sz w:val="28"/>
          <w:szCs w:val="28"/>
        </w:rPr>
        <w:t>2020年末的注册资本金与公积金之</w:t>
      </w:r>
      <w:proofErr w:type="gramStart"/>
      <w:r>
        <w:rPr>
          <w:rFonts w:ascii="宋体" w:hAnsi="宋体" w:hint="eastAsia"/>
          <w:b/>
          <w:snapToGrid w:val="0"/>
          <w:kern w:val="0"/>
          <w:sz w:val="28"/>
          <w:szCs w:val="28"/>
        </w:rPr>
        <w:t>和</w:t>
      </w:r>
      <w:proofErr w:type="gramEnd"/>
      <w:r>
        <w:rPr>
          <w:rFonts w:ascii="宋体" w:hAnsi="宋体" w:hint="eastAsia"/>
          <w:b/>
          <w:snapToGrid w:val="0"/>
          <w:kern w:val="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184"/>
      </w:tblGrid>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注册资本金与公积金之和</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得分</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600</w:t>
            </w:r>
            <w:r>
              <w:rPr>
                <w:rFonts w:ascii="宋体" w:hAnsi="宋体" w:hint="eastAsia"/>
                <w:snapToGrid w:val="0"/>
                <w:kern w:val="0"/>
                <w:sz w:val="28"/>
                <w:szCs w:val="28"/>
              </w:rPr>
              <w:t>亿元</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10</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50</w:t>
            </w:r>
            <w:r>
              <w:rPr>
                <w:rFonts w:ascii="宋体" w:hAnsi="宋体" w:hint="eastAsia"/>
                <w:snapToGrid w:val="0"/>
                <w:kern w:val="0"/>
                <w:sz w:val="28"/>
                <w:szCs w:val="28"/>
              </w:rPr>
              <w:t>0亿元</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8</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300</w:t>
            </w:r>
            <w:r>
              <w:rPr>
                <w:rFonts w:ascii="宋体" w:hAnsi="宋体" w:hint="eastAsia"/>
                <w:snapToGrid w:val="0"/>
                <w:kern w:val="0"/>
                <w:sz w:val="28"/>
                <w:szCs w:val="28"/>
              </w:rPr>
              <w:t>亿元</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6</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20</w:t>
            </w:r>
            <w:r>
              <w:rPr>
                <w:rFonts w:ascii="宋体" w:hAnsi="宋体" w:hint="eastAsia"/>
                <w:snapToGrid w:val="0"/>
                <w:kern w:val="0"/>
                <w:sz w:val="28"/>
                <w:szCs w:val="28"/>
              </w:rPr>
              <w:t>0亿元</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4</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100</w:t>
            </w:r>
            <w:r>
              <w:rPr>
                <w:rFonts w:ascii="宋体" w:hAnsi="宋体" w:hint="eastAsia"/>
                <w:snapToGrid w:val="0"/>
                <w:kern w:val="0"/>
                <w:sz w:val="28"/>
                <w:szCs w:val="28"/>
              </w:rPr>
              <w:t>亿元</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2</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50</w:t>
            </w:r>
            <w:r>
              <w:rPr>
                <w:rFonts w:ascii="宋体" w:hAnsi="宋体" w:hint="eastAsia"/>
                <w:snapToGrid w:val="0"/>
                <w:kern w:val="0"/>
                <w:sz w:val="28"/>
                <w:szCs w:val="28"/>
              </w:rPr>
              <w:t>亿元</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1</w:t>
            </w:r>
          </w:p>
        </w:tc>
      </w:tr>
    </w:tbl>
    <w:p w:rsidR="00B2188A" w:rsidRDefault="00B558C9">
      <w:pPr>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注：须提供总公司2020年度经会计师事务所审计后的财务报告。未提供相关证明文件的将不予计分，提供数据材料为集团公司的不予计分。</w:t>
      </w:r>
    </w:p>
    <w:p w:rsidR="00B2188A" w:rsidRDefault="00B558C9">
      <w:pPr>
        <w:spacing w:line="520" w:lineRule="exact"/>
        <w:ind w:firstLineChars="147" w:firstLine="413"/>
        <w:rPr>
          <w:rFonts w:ascii="宋体" w:hAnsi="宋体"/>
          <w:b/>
          <w:snapToGrid w:val="0"/>
          <w:kern w:val="0"/>
          <w:sz w:val="28"/>
          <w:szCs w:val="28"/>
        </w:rPr>
      </w:pPr>
      <w:r>
        <w:rPr>
          <w:rFonts w:ascii="宋体" w:hAnsi="宋体" w:hint="eastAsia"/>
          <w:b/>
          <w:snapToGrid w:val="0"/>
          <w:kern w:val="0"/>
          <w:sz w:val="28"/>
          <w:szCs w:val="28"/>
        </w:rPr>
        <w:t>二、保险公司总</w:t>
      </w:r>
      <w:r>
        <w:rPr>
          <w:rFonts w:ascii="宋体" w:hAnsi="宋体"/>
          <w:b/>
          <w:snapToGrid w:val="0"/>
          <w:kern w:val="0"/>
          <w:sz w:val="28"/>
          <w:szCs w:val="28"/>
        </w:rPr>
        <w:t>公司</w:t>
      </w:r>
      <w:r>
        <w:rPr>
          <w:rFonts w:ascii="宋体" w:hAnsi="宋体" w:hint="eastAsia"/>
          <w:b/>
          <w:snapToGrid w:val="0"/>
          <w:kern w:val="0"/>
          <w:sz w:val="28"/>
          <w:szCs w:val="28"/>
        </w:rPr>
        <w:t>2020年末的偿付能力充足率（偿付能力充足率等于实际偿付能力额度</w:t>
      </w:r>
      <w:bookmarkStart w:id="0" w:name="_GoBack"/>
      <w:bookmarkEnd w:id="0"/>
      <w:r>
        <w:rPr>
          <w:rFonts w:ascii="宋体" w:hAnsi="宋体" w:hint="eastAsia"/>
          <w:b/>
          <w:snapToGrid w:val="0"/>
          <w:kern w:val="0"/>
          <w:sz w:val="28"/>
          <w:szCs w:val="28"/>
        </w:rPr>
        <w:t>除以最低偿付能力）。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184"/>
      </w:tblGrid>
      <w:tr w:rsidR="00B2188A">
        <w:trPr>
          <w:trHeight w:val="466"/>
          <w:jc w:val="center"/>
        </w:trPr>
        <w:tc>
          <w:tcPr>
            <w:tcW w:w="2691" w:type="pct"/>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偿付能力充足率</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得分</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250%以上</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10</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200%以上</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8</w:t>
            </w:r>
          </w:p>
        </w:tc>
      </w:tr>
      <w:tr w:rsidR="00B2188A">
        <w:trPr>
          <w:trHeight w:val="451"/>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150%以上</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6</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100%以上</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4</w:t>
            </w:r>
          </w:p>
        </w:tc>
      </w:tr>
      <w:tr w:rsidR="00B2188A">
        <w:trPr>
          <w:trHeight w:val="466"/>
          <w:jc w:val="center"/>
        </w:trPr>
        <w:tc>
          <w:tcPr>
            <w:tcW w:w="2691"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100%以下</w:t>
            </w:r>
          </w:p>
        </w:tc>
        <w:tc>
          <w:tcPr>
            <w:tcW w:w="2309"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2</w:t>
            </w:r>
          </w:p>
        </w:tc>
      </w:tr>
    </w:tbl>
    <w:p w:rsidR="00B2188A" w:rsidRDefault="00B558C9">
      <w:pPr>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注：须提供总公司2020年度经会计师事务所审计后的偿付能力报告。未提供相关证明文件的将不予计分，提供数据材料为集团公司的不予计分。</w:t>
      </w:r>
    </w:p>
    <w:p w:rsidR="00B2188A" w:rsidRDefault="00B558C9">
      <w:pPr>
        <w:spacing w:line="520" w:lineRule="exact"/>
        <w:ind w:firstLineChars="147" w:firstLine="413"/>
        <w:rPr>
          <w:rFonts w:ascii="宋体" w:hAnsi="宋体"/>
          <w:b/>
          <w:snapToGrid w:val="0"/>
          <w:kern w:val="0"/>
          <w:sz w:val="28"/>
          <w:szCs w:val="28"/>
        </w:rPr>
      </w:pPr>
      <w:r>
        <w:rPr>
          <w:rFonts w:ascii="宋体" w:hAnsi="宋体" w:hint="eastAsia"/>
          <w:b/>
          <w:snapToGrid w:val="0"/>
          <w:kern w:val="0"/>
          <w:sz w:val="28"/>
          <w:szCs w:val="28"/>
        </w:rPr>
        <w:lastRenderedPageBreak/>
        <w:t>三、保险公司总</w:t>
      </w:r>
      <w:r>
        <w:rPr>
          <w:rFonts w:ascii="宋体" w:hAnsi="宋体"/>
          <w:b/>
          <w:snapToGrid w:val="0"/>
          <w:kern w:val="0"/>
          <w:sz w:val="28"/>
          <w:szCs w:val="28"/>
        </w:rPr>
        <w:t>公司</w:t>
      </w:r>
      <w:r>
        <w:rPr>
          <w:rFonts w:ascii="宋体" w:hAnsi="宋体" w:hint="eastAsia"/>
          <w:b/>
          <w:snapToGrid w:val="0"/>
          <w:kern w:val="0"/>
          <w:sz w:val="28"/>
          <w:szCs w:val="28"/>
        </w:rPr>
        <w:t>2020年度中国保监对保险行业服务评价结果。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099"/>
      </w:tblGrid>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评价结果</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得分</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AAA</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10</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AA</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9</w:t>
            </w:r>
          </w:p>
        </w:tc>
      </w:tr>
      <w:tr w:rsidR="00B2188A">
        <w:trPr>
          <w:trHeight w:val="451"/>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A</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8</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BBB</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7</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BB</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6</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B</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5</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CCC</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4</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CC</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3</w:t>
            </w:r>
          </w:p>
        </w:tc>
      </w:tr>
      <w:tr w:rsidR="00B2188A">
        <w:trPr>
          <w:trHeight w:val="466"/>
          <w:jc w:val="center"/>
        </w:trPr>
        <w:tc>
          <w:tcPr>
            <w:tcW w:w="2738"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C</w:t>
            </w:r>
          </w:p>
        </w:tc>
        <w:tc>
          <w:tcPr>
            <w:tcW w:w="2262"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2</w:t>
            </w:r>
          </w:p>
        </w:tc>
      </w:tr>
    </w:tbl>
    <w:p w:rsidR="00B2188A" w:rsidRDefault="00B558C9">
      <w:pPr>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注：以保监会网站公布数据的截图为准（复印件加盖单位公章）。</w:t>
      </w:r>
    </w:p>
    <w:p w:rsidR="00B2188A" w:rsidRDefault="00B558C9">
      <w:pPr>
        <w:spacing w:line="520" w:lineRule="exact"/>
        <w:ind w:firstLineChars="200" w:firstLine="562"/>
        <w:rPr>
          <w:rFonts w:ascii="宋体" w:hAnsi="宋体"/>
          <w:b/>
          <w:snapToGrid w:val="0"/>
          <w:kern w:val="0"/>
          <w:sz w:val="28"/>
          <w:szCs w:val="28"/>
        </w:rPr>
      </w:pPr>
      <w:r>
        <w:rPr>
          <w:rFonts w:ascii="宋体" w:hAnsi="宋体" w:hint="eastAsia"/>
          <w:b/>
          <w:snapToGrid w:val="0"/>
          <w:kern w:val="0"/>
          <w:sz w:val="28"/>
          <w:szCs w:val="28"/>
        </w:rPr>
        <w:t>四、2020年度绍兴辖区财产险公司</w:t>
      </w:r>
      <w:r>
        <w:rPr>
          <w:rFonts w:ascii="宋体" w:hAnsi="宋体"/>
          <w:b/>
          <w:snapToGrid w:val="0"/>
          <w:kern w:val="0"/>
          <w:sz w:val="28"/>
          <w:szCs w:val="28"/>
        </w:rPr>
        <w:t>的</w:t>
      </w:r>
      <w:r>
        <w:rPr>
          <w:rFonts w:ascii="宋体" w:hAnsi="宋体" w:hint="eastAsia"/>
          <w:b/>
          <w:snapToGrid w:val="0"/>
          <w:kern w:val="0"/>
          <w:sz w:val="28"/>
          <w:szCs w:val="28"/>
        </w:rPr>
        <w:t>市场占比。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258"/>
      </w:tblGrid>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市场占比</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得分</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35%</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10</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≥30%</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snapToGrid w:val="0"/>
                <w:kern w:val="0"/>
                <w:sz w:val="28"/>
                <w:szCs w:val="28"/>
              </w:rPr>
              <w:t>9</w:t>
            </w:r>
          </w:p>
        </w:tc>
      </w:tr>
      <w:tr w:rsidR="00B2188A">
        <w:trPr>
          <w:trHeight w:val="451"/>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≥25%</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8</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≥2</w:t>
            </w:r>
            <w:r>
              <w:rPr>
                <w:rFonts w:ascii="宋体" w:hAnsi="宋体"/>
                <w:snapToGrid w:val="0"/>
                <w:kern w:val="0"/>
                <w:sz w:val="28"/>
                <w:szCs w:val="28"/>
              </w:rPr>
              <w:t>0</w:t>
            </w:r>
            <w:r>
              <w:rPr>
                <w:rFonts w:ascii="宋体" w:hAnsi="宋体" w:hint="eastAsia"/>
                <w:snapToGrid w:val="0"/>
                <w:kern w:val="0"/>
                <w:sz w:val="28"/>
                <w:szCs w:val="28"/>
              </w:rPr>
              <w:t>%</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7</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1</w:t>
            </w:r>
            <w:r>
              <w:rPr>
                <w:rFonts w:ascii="宋体" w:hAnsi="宋体" w:hint="eastAsia"/>
                <w:snapToGrid w:val="0"/>
                <w:kern w:val="0"/>
                <w:sz w:val="28"/>
                <w:szCs w:val="28"/>
              </w:rPr>
              <w:t>5%</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6</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10</w:t>
            </w:r>
            <w:r>
              <w:rPr>
                <w:rFonts w:ascii="宋体" w:hAnsi="宋体" w:hint="eastAsia"/>
                <w:snapToGrid w:val="0"/>
                <w:kern w:val="0"/>
                <w:sz w:val="28"/>
                <w:szCs w:val="28"/>
              </w:rPr>
              <w:t>%</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5</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≥5%</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4</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1</w:t>
            </w:r>
            <w:r>
              <w:rPr>
                <w:rFonts w:ascii="宋体" w:hAnsi="宋体" w:hint="eastAsia"/>
                <w:snapToGrid w:val="0"/>
                <w:kern w:val="0"/>
                <w:sz w:val="28"/>
                <w:szCs w:val="28"/>
              </w:rPr>
              <w:t>%</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3</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≥0.5%</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2</w:t>
            </w:r>
          </w:p>
        </w:tc>
      </w:tr>
      <w:tr w:rsidR="00B2188A">
        <w:trPr>
          <w:trHeight w:val="466"/>
          <w:jc w:val="center"/>
        </w:trPr>
        <w:tc>
          <w:tcPr>
            <w:tcW w:w="26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＜0.5</w:t>
            </w:r>
            <w:r>
              <w:rPr>
                <w:rFonts w:ascii="宋体" w:hAnsi="宋体"/>
                <w:snapToGrid w:val="0"/>
                <w:kern w:val="0"/>
                <w:sz w:val="28"/>
                <w:szCs w:val="28"/>
              </w:rPr>
              <w:t>%</w:t>
            </w:r>
          </w:p>
        </w:tc>
        <w:tc>
          <w:tcPr>
            <w:tcW w:w="2350"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w:t>
            </w:r>
          </w:p>
        </w:tc>
      </w:tr>
    </w:tbl>
    <w:p w:rsidR="00B2188A" w:rsidRDefault="00B558C9">
      <w:pPr>
        <w:snapToGrid w:val="0"/>
        <w:spacing w:line="520" w:lineRule="exact"/>
        <w:ind w:firstLineChars="200" w:firstLine="560"/>
        <w:jc w:val="left"/>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lastRenderedPageBreak/>
        <w:t>注：以绍兴市保险行业协会提供的绍兴财产险公司有关数据统计表为准，未提供相关数据的将不予计分。</w:t>
      </w:r>
    </w:p>
    <w:p w:rsidR="00B2188A" w:rsidRDefault="00B558C9">
      <w:pPr>
        <w:spacing w:line="520" w:lineRule="exact"/>
        <w:ind w:firstLineChars="200" w:firstLine="562"/>
        <w:rPr>
          <w:rFonts w:ascii="宋体" w:hAnsi="宋体"/>
          <w:b/>
          <w:snapToGrid w:val="0"/>
          <w:kern w:val="0"/>
          <w:sz w:val="28"/>
          <w:szCs w:val="28"/>
        </w:rPr>
      </w:pPr>
      <w:r>
        <w:rPr>
          <w:rFonts w:ascii="宋体" w:hAnsi="宋体" w:hint="eastAsia"/>
          <w:b/>
          <w:snapToGrid w:val="0"/>
          <w:kern w:val="0"/>
          <w:sz w:val="28"/>
          <w:szCs w:val="28"/>
        </w:rPr>
        <w:t>五、2020年度绍兴辖区财产</w:t>
      </w:r>
      <w:r>
        <w:rPr>
          <w:rFonts w:ascii="宋体" w:hAnsi="宋体"/>
          <w:b/>
          <w:snapToGrid w:val="0"/>
          <w:kern w:val="0"/>
          <w:sz w:val="28"/>
          <w:szCs w:val="28"/>
        </w:rPr>
        <w:t>险</w:t>
      </w:r>
      <w:r>
        <w:rPr>
          <w:rFonts w:ascii="宋体" w:hAnsi="宋体" w:hint="eastAsia"/>
          <w:b/>
          <w:snapToGrid w:val="0"/>
          <w:kern w:val="0"/>
          <w:sz w:val="28"/>
          <w:szCs w:val="28"/>
        </w:rPr>
        <w:t>公司的赔款金额。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0"/>
        <w:gridCol w:w="4340"/>
      </w:tblGrid>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赔款金额</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得分</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10</w:t>
            </w:r>
            <w:r>
              <w:rPr>
                <w:rFonts w:ascii="宋体" w:hAnsi="宋体" w:hint="eastAsia"/>
                <w:snapToGrid w:val="0"/>
                <w:kern w:val="0"/>
                <w:sz w:val="28"/>
                <w:szCs w:val="28"/>
              </w:rPr>
              <w:t>亿元</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10</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8</w:t>
            </w:r>
            <w:r>
              <w:rPr>
                <w:rFonts w:ascii="宋体" w:hAnsi="宋体" w:hint="eastAsia"/>
                <w:snapToGrid w:val="0"/>
                <w:kern w:val="0"/>
                <w:sz w:val="28"/>
                <w:szCs w:val="28"/>
              </w:rPr>
              <w:t>亿元</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8</w:t>
            </w:r>
          </w:p>
        </w:tc>
      </w:tr>
      <w:tr w:rsidR="00B2188A">
        <w:trPr>
          <w:trHeight w:val="451"/>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6</w:t>
            </w:r>
            <w:r>
              <w:rPr>
                <w:rFonts w:ascii="宋体" w:hAnsi="宋体" w:hint="eastAsia"/>
                <w:snapToGrid w:val="0"/>
                <w:kern w:val="0"/>
                <w:sz w:val="28"/>
                <w:szCs w:val="28"/>
              </w:rPr>
              <w:t>亿元</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6</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3</w:t>
            </w:r>
            <w:r>
              <w:rPr>
                <w:rFonts w:ascii="宋体" w:hAnsi="宋体" w:hint="eastAsia"/>
                <w:snapToGrid w:val="0"/>
                <w:kern w:val="0"/>
                <w:sz w:val="28"/>
                <w:szCs w:val="28"/>
              </w:rPr>
              <w:t>亿元</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4</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1</w:t>
            </w:r>
            <w:r>
              <w:rPr>
                <w:rFonts w:ascii="宋体" w:hAnsi="宋体" w:hint="eastAsia"/>
                <w:snapToGrid w:val="0"/>
                <w:kern w:val="0"/>
                <w:sz w:val="28"/>
                <w:szCs w:val="28"/>
              </w:rPr>
              <w:t>亿元</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3</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5</w:t>
            </w:r>
            <w:r>
              <w:rPr>
                <w:rFonts w:ascii="宋体" w:hAnsi="宋体" w:hint="eastAsia"/>
                <w:snapToGrid w:val="0"/>
                <w:kern w:val="0"/>
                <w:sz w:val="28"/>
                <w:szCs w:val="28"/>
              </w:rPr>
              <w:t>000万元</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2</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5</w:t>
            </w:r>
            <w:r>
              <w:rPr>
                <w:rFonts w:ascii="宋体" w:hAnsi="宋体" w:hint="eastAsia"/>
                <w:snapToGrid w:val="0"/>
                <w:kern w:val="0"/>
                <w:sz w:val="28"/>
                <w:szCs w:val="28"/>
              </w:rPr>
              <w:t>000万元</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w:t>
            </w:r>
          </w:p>
        </w:tc>
      </w:tr>
    </w:tbl>
    <w:p w:rsidR="00B2188A" w:rsidRDefault="00B558C9">
      <w:pPr>
        <w:snapToGrid w:val="0"/>
        <w:spacing w:line="520" w:lineRule="exact"/>
        <w:ind w:firstLineChars="200" w:firstLine="560"/>
        <w:jc w:val="left"/>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注：以绍兴市保险行业协会提供的绍兴财产险公司有关数据统计表为准，未提供相关数据的将不予计分。</w:t>
      </w:r>
    </w:p>
    <w:p w:rsidR="00B2188A" w:rsidRDefault="00B558C9">
      <w:pPr>
        <w:spacing w:line="520" w:lineRule="exact"/>
        <w:ind w:firstLineChars="200" w:firstLine="562"/>
        <w:rPr>
          <w:rFonts w:ascii="宋体" w:hAnsi="宋体"/>
          <w:b/>
          <w:snapToGrid w:val="0"/>
          <w:kern w:val="0"/>
          <w:sz w:val="28"/>
          <w:szCs w:val="28"/>
        </w:rPr>
      </w:pPr>
      <w:r>
        <w:rPr>
          <w:rFonts w:ascii="宋体" w:hAnsi="宋体" w:hint="eastAsia"/>
          <w:b/>
          <w:snapToGrid w:val="0"/>
          <w:kern w:val="0"/>
          <w:sz w:val="28"/>
          <w:szCs w:val="28"/>
        </w:rPr>
        <w:t>六、</w:t>
      </w:r>
      <w:proofErr w:type="gramStart"/>
      <w:r>
        <w:rPr>
          <w:rFonts w:ascii="宋体" w:hAnsi="宋体" w:hint="eastAsia"/>
          <w:b/>
          <w:snapToGrid w:val="0"/>
          <w:kern w:val="0"/>
          <w:sz w:val="28"/>
          <w:szCs w:val="28"/>
        </w:rPr>
        <w:t>安责险</w:t>
      </w:r>
      <w:proofErr w:type="gramEnd"/>
      <w:r>
        <w:rPr>
          <w:rFonts w:ascii="宋体" w:hAnsi="宋体" w:hint="eastAsia"/>
          <w:b/>
          <w:snapToGrid w:val="0"/>
          <w:kern w:val="0"/>
          <w:sz w:val="28"/>
          <w:szCs w:val="28"/>
        </w:rPr>
        <w:t>差异化从业人员保费基础标准。</w:t>
      </w:r>
    </w:p>
    <w:p w:rsidR="00B2188A" w:rsidRDefault="00B558C9">
      <w:pPr>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设定基础标准为X元/人，得分如下：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9"/>
        <w:gridCol w:w="4651"/>
      </w:tblGrid>
      <w:tr w:rsidR="00B2188A">
        <w:tc>
          <w:tcPr>
            <w:tcW w:w="2433"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X</w:t>
            </w:r>
          </w:p>
        </w:tc>
        <w:tc>
          <w:tcPr>
            <w:tcW w:w="2567"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得分</w:t>
            </w:r>
          </w:p>
        </w:tc>
      </w:tr>
      <w:tr w:rsidR="00B2188A">
        <w:tc>
          <w:tcPr>
            <w:tcW w:w="2433"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≥600</w:t>
            </w:r>
          </w:p>
        </w:tc>
        <w:tc>
          <w:tcPr>
            <w:tcW w:w="2567"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3</w:t>
            </w:r>
          </w:p>
        </w:tc>
      </w:tr>
      <w:tr w:rsidR="00B2188A">
        <w:tc>
          <w:tcPr>
            <w:tcW w:w="2433"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600＞X≥550</w:t>
            </w:r>
          </w:p>
        </w:tc>
        <w:tc>
          <w:tcPr>
            <w:tcW w:w="2567"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6</w:t>
            </w:r>
          </w:p>
        </w:tc>
      </w:tr>
      <w:tr w:rsidR="00B2188A">
        <w:tc>
          <w:tcPr>
            <w:tcW w:w="2433"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550＞X≥500</w:t>
            </w:r>
          </w:p>
        </w:tc>
        <w:tc>
          <w:tcPr>
            <w:tcW w:w="2567"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9</w:t>
            </w:r>
          </w:p>
        </w:tc>
      </w:tr>
      <w:tr w:rsidR="00B2188A">
        <w:tc>
          <w:tcPr>
            <w:tcW w:w="2433"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500＞X≥450</w:t>
            </w:r>
          </w:p>
        </w:tc>
        <w:tc>
          <w:tcPr>
            <w:tcW w:w="2567"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12</w:t>
            </w:r>
          </w:p>
        </w:tc>
      </w:tr>
      <w:tr w:rsidR="00B2188A">
        <w:tc>
          <w:tcPr>
            <w:tcW w:w="2433"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X＜450</w:t>
            </w:r>
          </w:p>
        </w:tc>
        <w:tc>
          <w:tcPr>
            <w:tcW w:w="2567" w:type="pct"/>
            <w:vAlign w:val="center"/>
          </w:tcPr>
          <w:p w:rsidR="00B2188A" w:rsidRDefault="00B558C9">
            <w:pPr>
              <w:spacing w:line="520" w:lineRule="exact"/>
              <w:jc w:val="center"/>
              <w:rPr>
                <w:rFonts w:ascii="宋体" w:hAnsi="宋体"/>
                <w:snapToGrid w:val="0"/>
                <w:kern w:val="0"/>
                <w:sz w:val="28"/>
                <w:szCs w:val="28"/>
              </w:rPr>
            </w:pPr>
            <w:r>
              <w:rPr>
                <w:rFonts w:ascii="宋体" w:hAnsi="宋体" w:hint="eastAsia"/>
                <w:snapToGrid w:val="0"/>
                <w:kern w:val="0"/>
                <w:sz w:val="28"/>
                <w:szCs w:val="28"/>
              </w:rPr>
              <w:t>15</w:t>
            </w:r>
          </w:p>
        </w:tc>
      </w:tr>
    </w:tbl>
    <w:p w:rsidR="00B2188A" w:rsidRDefault="00B558C9">
      <w:pPr>
        <w:spacing w:line="520" w:lineRule="exact"/>
        <w:ind w:firstLineChars="200" w:firstLine="562"/>
        <w:rPr>
          <w:rFonts w:ascii="仿宋_GB2312" w:eastAsia="仿宋_GB2312" w:hAnsi="宋体"/>
          <w:snapToGrid w:val="0"/>
          <w:kern w:val="0"/>
          <w:sz w:val="28"/>
          <w:szCs w:val="28"/>
        </w:rPr>
      </w:pPr>
      <w:r>
        <w:rPr>
          <w:rFonts w:ascii="宋体" w:hAnsi="宋体" w:hint="eastAsia"/>
          <w:b/>
          <w:snapToGrid w:val="0"/>
          <w:kern w:val="0"/>
          <w:sz w:val="28"/>
          <w:szCs w:val="28"/>
        </w:rPr>
        <w:t>七</w:t>
      </w:r>
      <w:r>
        <w:rPr>
          <w:rFonts w:ascii="宋体" w:hAnsi="宋体"/>
          <w:b/>
          <w:snapToGrid w:val="0"/>
          <w:kern w:val="0"/>
          <w:sz w:val="28"/>
          <w:szCs w:val="28"/>
        </w:rPr>
        <w:t>、</w:t>
      </w:r>
      <w:r>
        <w:rPr>
          <w:rFonts w:ascii="宋体" w:hAnsi="宋体" w:hint="eastAsia"/>
          <w:b/>
          <w:snapToGrid w:val="0"/>
          <w:kern w:val="0"/>
          <w:sz w:val="28"/>
          <w:szCs w:val="28"/>
        </w:rPr>
        <w:t>安全生产社会化服务。</w:t>
      </w:r>
      <w:r>
        <w:rPr>
          <w:rFonts w:ascii="仿宋_GB2312" w:eastAsia="仿宋_GB2312" w:hAnsi="宋体" w:hint="eastAsia"/>
          <w:snapToGrid w:val="0"/>
          <w:kern w:val="0"/>
          <w:sz w:val="28"/>
          <w:szCs w:val="28"/>
        </w:rPr>
        <w:t>为了加大对事故的预防力度，保险公司委托第三方等专业服务机构按照行业管理部门制定的服务标准用于参保单位生产安全事故隐患的整治、生产安全事故的预防等，加强对参保单位的安全生产服务，督促指导参保单</w:t>
      </w:r>
      <w:proofErr w:type="gramStart"/>
      <w:r>
        <w:rPr>
          <w:rFonts w:ascii="仿宋_GB2312" w:eastAsia="仿宋_GB2312" w:hAnsi="宋体" w:hint="eastAsia"/>
          <w:snapToGrid w:val="0"/>
          <w:kern w:val="0"/>
          <w:sz w:val="28"/>
          <w:szCs w:val="28"/>
        </w:rPr>
        <w:t>位做好</w:t>
      </w:r>
      <w:proofErr w:type="gramEnd"/>
      <w:r>
        <w:rPr>
          <w:rFonts w:ascii="仿宋_GB2312" w:eastAsia="仿宋_GB2312" w:hAnsi="宋体" w:hint="eastAsia"/>
          <w:snapToGrid w:val="0"/>
          <w:kern w:val="0"/>
          <w:sz w:val="28"/>
          <w:szCs w:val="28"/>
        </w:rPr>
        <w:t>安全生产工作。</w:t>
      </w:r>
    </w:p>
    <w:p w:rsidR="00B2188A" w:rsidRDefault="00B558C9">
      <w:pPr>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按照保险公司委托第三</w:t>
      </w:r>
      <w:proofErr w:type="gramStart"/>
      <w:r>
        <w:rPr>
          <w:rFonts w:ascii="仿宋_GB2312" w:eastAsia="仿宋_GB2312" w:hAnsi="宋体" w:hint="eastAsia"/>
          <w:snapToGrid w:val="0"/>
          <w:kern w:val="0"/>
          <w:sz w:val="28"/>
          <w:szCs w:val="28"/>
        </w:rPr>
        <w:t>方服务</w:t>
      </w:r>
      <w:proofErr w:type="gramEnd"/>
      <w:r>
        <w:rPr>
          <w:rFonts w:ascii="仿宋_GB2312" w:eastAsia="仿宋_GB2312" w:hAnsi="宋体" w:hint="eastAsia"/>
          <w:snapToGrid w:val="0"/>
          <w:kern w:val="0"/>
          <w:sz w:val="28"/>
          <w:szCs w:val="28"/>
        </w:rPr>
        <w:t>机构用于安全生产服务而提取的防损减灾费用比例进行评分。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0"/>
        <w:gridCol w:w="4340"/>
      </w:tblGrid>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提取的防损减灾费用比例</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得分</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≥50</w:t>
            </w:r>
            <w:r>
              <w:rPr>
                <w:rFonts w:ascii="宋体" w:hAnsi="宋体"/>
                <w:snapToGrid w:val="0"/>
                <w:kern w:val="0"/>
                <w:sz w:val="28"/>
                <w:szCs w:val="28"/>
              </w:rPr>
              <w:t>%</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12</w:t>
            </w:r>
          </w:p>
        </w:tc>
      </w:tr>
      <w:tr w:rsidR="00B2188A">
        <w:trPr>
          <w:trHeight w:val="466"/>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w:t>
            </w:r>
            <w:r>
              <w:rPr>
                <w:rFonts w:ascii="宋体" w:hAnsi="宋体"/>
                <w:snapToGrid w:val="0"/>
                <w:kern w:val="0"/>
                <w:sz w:val="28"/>
                <w:szCs w:val="28"/>
              </w:rPr>
              <w:t>4</w:t>
            </w:r>
            <w:r>
              <w:rPr>
                <w:rFonts w:ascii="宋体" w:hAnsi="宋体" w:hint="eastAsia"/>
                <w:snapToGrid w:val="0"/>
                <w:kern w:val="0"/>
                <w:sz w:val="28"/>
                <w:szCs w:val="28"/>
              </w:rPr>
              <w:t>5</w:t>
            </w:r>
            <w:r>
              <w:rPr>
                <w:rFonts w:ascii="宋体" w:hAnsi="宋体"/>
                <w:snapToGrid w:val="0"/>
                <w:kern w:val="0"/>
                <w:sz w:val="28"/>
                <w:szCs w:val="28"/>
              </w:rPr>
              <w:t>%</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8</w:t>
            </w:r>
          </w:p>
        </w:tc>
      </w:tr>
      <w:tr w:rsidR="00B2188A">
        <w:trPr>
          <w:trHeight w:val="451"/>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≥40</w:t>
            </w:r>
            <w:r>
              <w:rPr>
                <w:rFonts w:ascii="宋体" w:hAnsi="宋体"/>
                <w:snapToGrid w:val="0"/>
                <w:kern w:val="0"/>
                <w:sz w:val="28"/>
                <w:szCs w:val="28"/>
              </w:rPr>
              <w:t>%</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4</w:t>
            </w:r>
          </w:p>
        </w:tc>
      </w:tr>
      <w:tr w:rsidR="00B2188A">
        <w:trPr>
          <w:trHeight w:val="451"/>
          <w:jc w:val="center"/>
        </w:trPr>
        <w:tc>
          <w:tcPr>
            <w:tcW w:w="260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b/>
                <w:snapToGrid w:val="0"/>
                <w:kern w:val="0"/>
                <w:sz w:val="28"/>
                <w:szCs w:val="28"/>
              </w:rPr>
              <w:t>＜</w:t>
            </w:r>
            <w:r>
              <w:rPr>
                <w:rFonts w:ascii="宋体" w:hAnsi="宋体" w:hint="eastAsia"/>
                <w:snapToGrid w:val="0"/>
                <w:kern w:val="0"/>
                <w:sz w:val="28"/>
                <w:szCs w:val="28"/>
              </w:rPr>
              <w:t>4</w:t>
            </w:r>
            <w:r>
              <w:rPr>
                <w:rFonts w:ascii="宋体" w:hAnsi="宋体"/>
                <w:snapToGrid w:val="0"/>
                <w:kern w:val="0"/>
                <w:sz w:val="28"/>
                <w:szCs w:val="28"/>
              </w:rPr>
              <w:t>0%</w:t>
            </w:r>
          </w:p>
        </w:tc>
        <w:tc>
          <w:tcPr>
            <w:tcW w:w="2395" w:type="pct"/>
          </w:tcPr>
          <w:p w:rsidR="00B2188A" w:rsidRDefault="00B558C9">
            <w:pPr>
              <w:spacing w:line="520" w:lineRule="exact"/>
              <w:ind w:firstLine="560"/>
              <w:jc w:val="center"/>
              <w:rPr>
                <w:rFonts w:ascii="宋体" w:hAnsi="宋体"/>
                <w:snapToGrid w:val="0"/>
                <w:kern w:val="0"/>
                <w:sz w:val="28"/>
                <w:szCs w:val="28"/>
              </w:rPr>
            </w:pPr>
            <w:r>
              <w:rPr>
                <w:rFonts w:ascii="宋体" w:hAnsi="宋体" w:hint="eastAsia"/>
                <w:snapToGrid w:val="0"/>
                <w:kern w:val="0"/>
                <w:sz w:val="28"/>
                <w:szCs w:val="28"/>
              </w:rPr>
              <w:t>0</w:t>
            </w:r>
          </w:p>
        </w:tc>
      </w:tr>
    </w:tbl>
    <w:p w:rsidR="00B2188A" w:rsidRDefault="00B558C9">
      <w:pPr>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注：各保险公司提供加盖公司公章的报告。</w:t>
      </w:r>
    </w:p>
    <w:p w:rsidR="00B2188A" w:rsidRDefault="00B558C9">
      <w:pPr>
        <w:spacing w:line="520" w:lineRule="exact"/>
        <w:ind w:firstLineChars="200" w:firstLine="562"/>
        <w:rPr>
          <w:rFonts w:ascii="仿宋_GB2312" w:eastAsia="仿宋_GB2312" w:hAnsi="宋体"/>
          <w:snapToGrid w:val="0"/>
          <w:kern w:val="0"/>
          <w:sz w:val="28"/>
          <w:szCs w:val="28"/>
        </w:rPr>
      </w:pPr>
      <w:r>
        <w:rPr>
          <w:rFonts w:ascii="宋体" w:hAnsi="宋体" w:hint="eastAsia"/>
          <w:b/>
          <w:snapToGrid w:val="0"/>
          <w:kern w:val="0"/>
          <w:sz w:val="28"/>
          <w:szCs w:val="28"/>
        </w:rPr>
        <w:t>八、保险公司在绍兴市各区、县（市）设立的分支机构情况</w:t>
      </w:r>
      <w:r>
        <w:rPr>
          <w:rFonts w:ascii="宋体" w:hAnsi="宋体"/>
          <w:b/>
          <w:snapToGrid w:val="0"/>
          <w:kern w:val="0"/>
          <w:sz w:val="28"/>
          <w:szCs w:val="28"/>
        </w:rPr>
        <w:t>。</w:t>
      </w:r>
      <w:r>
        <w:rPr>
          <w:rFonts w:ascii="仿宋_GB2312" w:eastAsia="仿宋_GB2312" w:hAnsi="宋体" w:hint="eastAsia"/>
          <w:snapToGrid w:val="0"/>
          <w:kern w:val="0"/>
          <w:sz w:val="28"/>
          <w:szCs w:val="28"/>
        </w:rPr>
        <w:t>支公司级的分支机构每家加1分，最高不超过8分。（以营业执照为准）</w:t>
      </w:r>
    </w:p>
    <w:p w:rsidR="00B2188A" w:rsidRDefault="00B558C9">
      <w:pPr>
        <w:spacing w:line="520" w:lineRule="exact"/>
        <w:ind w:firstLineChars="200" w:firstLine="562"/>
        <w:rPr>
          <w:rFonts w:ascii="仿宋_GB2312" w:eastAsia="仿宋_GB2312" w:hAnsi="宋体"/>
          <w:snapToGrid w:val="0"/>
          <w:kern w:val="0"/>
          <w:sz w:val="28"/>
          <w:szCs w:val="28"/>
        </w:rPr>
      </w:pPr>
      <w:r>
        <w:rPr>
          <w:rFonts w:ascii="宋体" w:hAnsi="宋体" w:hint="eastAsia"/>
          <w:b/>
          <w:snapToGrid w:val="0"/>
          <w:kern w:val="0"/>
          <w:sz w:val="28"/>
          <w:szCs w:val="28"/>
        </w:rPr>
        <w:t>九、2018年</w:t>
      </w:r>
      <w:r>
        <w:rPr>
          <w:rFonts w:ascii="宋体" w:hAnsi="宋体"/>
          <w:b/>
          <w:snapToGrid w:val="0"/>
          <w:kern w:val="0"/>
          <w:sz w:val="28"/>
          <w:szCs w:val="28"/>
        </w:rPr>
        <w:t>1</w:t>
      </w:r>
      <w:r>
        <w:rPr>
          <w:rFonts w:ascii="宋体" w:hAnsi="宋体" w:hint="eastAsia"/>
          <w:b/>
          <w:snapToGrid w:val="0"/>
          <w:kern w:val="0"/>
          <w:sz w:val="28"/>
          <w:szCs w:val="28"/>
        </w:rPr>
        <w:t>月</w:t>
      </w:r>
      <w:r>
        <w:rPr>
          <w:rFonts w:ascii="宋体" w:hAnsi="宋体"/>
          <w:b/>
          <w:snapToGrid w:val="0"/>
          <w:kern w:val="0"/>
          <w:sz w:val="28"/>
          <w:szCs w:val="28"/>
        </w:rPr>
        <w:t>1</w:t>
      </w:r>
      <w:r>
        <w:rPr>
          <w:rFonts w:ascii="宋体" w:hAnsi="宋体" w:hint="eastAsia"/>
          <w:b/>
          <w:snapToGrid w:val="0"/>
          <w:kern w:val="0"/>
          <w:sz w:val="28"/>
          <w:szCs w:val="28"/>
        </w:rPr>
        <w:t>日至今，保险公司获得市级及以上政府评定荣誉称号情况</w:t>
      </w:r>
      <w:r>
        <w:rPr>
          <w:rFonts w:ascii="宋体" w:hAnsi="宋体"/>
          <w:b/>
          <w:snapToGrid w:val="0"/>
          <w:kern w:val="0"/>
          <w:sz w:val="28"/>
          <w:szCs w:val="28"/>
        </w:rPr>
        <w:t>。</w:t>
      </w:r>
      <w:r>
        <w:rPr>
          <w:rFonts w:ascii="仿宋_GB2312" w:eastAsia="仿宋_GB2312" w:hAnsi="宋体" w:hint="eastAsia"/>
          <w:snapToGrid w:val="0"/>
          <w:kern w:val="0"/>
          <w:sz w:val="28"/>
          <w:szCs w:val="28"/>
        </w:rPr>
        <w:t>市级每项加1分，省级每项加2分。同一项目获各级政府荣誉称号的，以高者为准，不重复加分，本项最高不超5分。（荣誉称号需为申报保险公司本身所具有，总公司或其他分公司的荣誉不能作为该公司的荣誉予以确认。需提供荣誉称号复印件并加盖公章，原件备查，否则不得分）。</w:t>
      </w:r>
    </w:p>
    <w:p w:rsidR="00B2188A" w:rsidRDefault="00B558C9">
      <w:pPr>
        <w:spacing w:line="520" w:lineRule="exact"/>
        <w:ind w:firstLineChars="200" w:firstLine="562"/>
        <w:rPr>
          <w:rFonts w:ascii="仿宋_GB2312" w:eastAsia="仿宋_GB2312" w:hAnsi="宋体"/>
          <w:snapToGrid w:val="0"/>
          <w:kern w:val="0"/>
          <w:sz w:val="28"/>
          <w:szCs w:val="28"/>
        </w:rPr>
      </w:pPr>
      <w:r>
        <w:rPr>
          <w:rFonts w:ascii="宋体" w:hAnsi="宋体" w:hint="eastAsia"/>
          <w:b/>
          <w:snapToGrid w:val="0"/>
          <w:kern w:val="0"/>
          <w:sz w:val="28"/>
          <w:szCs w:val="28"/>
        </w:rPr>
        <w:t>十、保险公司综合</w:t>
      </w:r>
      <w:r>
        <w:rPr>
          <w:rFonts w:ascii="宋体" w:hAnsi="宋体"/>
          <w:b/>
          <w:snapToGrid w:val="0"/>
          <w:kern w:val="0"/>
          <w:sz w:val="28"/>
          <w:szCs w:val="28"/>
        </w:rPr>
        <w:t>评价</w:t>
      </w:r>
      <w:r>
        <w:rPr>
          <w:rFonts w:ascii="宋体" w:hAnsi="宋体" w:hint="eastAsia"/>
          <w:b/>
          <w:snapToGrid w:val="0"/>
          <w:kern w:val="0"/>
          <w:sz w:val="28"/>
          <w:szCs w:val="28"/>
        </w:rPr>
        <w:t>。</w:t>
      </w:r>
      <w:r>
        <w:rPr>
          <w:rFonts w:ascii="仿宋_GB2312" w:eastAsia="仿宋_GB2312" w:hAnsi="宋体" w:hint="eastAsia"/>
          <w:snapToGrid w:val="0"/>
          <w:kern w:val="0"/>
          <w:sz w:val="28"/>
          <w:szCs w:val="28"/>
        </w:rPr>
        <w:t>根据公司情况简介，以及市场评价等各方面情况进行评分，最高得分不超过10分。分优秀（得分区间为8分至10分）、良好（得分6分至8分）、合格（得分4分至6分）和基本合格（得分1分至4分）四个等级，最高得10分。</w:t>
      </w:r>
    </w:p>
    <w:p w:rsidR="00B2188A" w:rsidRDefault="00B2188A">
      <w:pPr>
        <w:ind w:firstLineChars="200" w:firstLine="640"/>
        <w:rPr>
          <w:rFonts w:ascii="Times New Roman" w:eastAsia="仿宋" w:hAnsi="Times New Roman"/>
          <w:sz w:val="32"/>
        </w:rPr>
      </w:pPr>
    </w:p>
    <w:p w:rsidR="00B2188A" w:rsidRDefault="00B2188A">
      <w:pPr>
        <w:ind w:firstLineChars="200" w:firstLine="640"/>
        <w:rPr>
          <w:rFonts w:ascii="Times New Roman" w:eastAsia="仿宋" w:hAnsi="Times New Roman"/>
          <w:sz w:val="32"/>
        </w:rPr>
      </w:pPr>
    </w:p>
    <w:p w:rsidR="00B2188A" w:rsidRDefault="00B2188A">
      <w:pPr>
        <w:rPr>
          <w:rFonts w:ascii="仿宋" w:eastAsia="仿宋" w:hAnsi="仿宋"/>
          <w:sz w:val="32"/>
          <w:szCs w:val="32"/>
        </w:rPr>
      </w:pPr>
    </w:p>
    <w:sectPr w:rsidR="00B2188A" w:rsidSect="00B558C9">
      <w:pgSz w:w="11906" w:h="16838"/>
      <w:pgMar w:top="2041"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8C9" w:rsidRDefault="00B558C9" w:rsidP="00B558C9">
      <w:r>
        <w:separator/>
      </w:r>
    </w:p>
  </w:endnote>
  <w:endnote w:type="continuationSeparator" w:id="1">
    <w:p w:rsidR="00B558C9" w:rsidRDefault="00B558C9" w:rsidP="00B55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8C9" w:rsidRDefault="00B558C9" w:rsidP="00B558C9">
      <w:r>
        <w:separator/>
      </w:r>
    </w:p>
  </w:footnote>
  <w:footnote w:type="continuationSeparator" w:id="1">
    <w:p w:rsidR="00B558C9" w:rsidRDefault="00B558C9" w:rsidP="00B55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014"/>
    <w:rsid w:val="00051CEB"/>
    <w:rsid w:val="00084857"/>
    <w:rsid w:val="001427F0"/>
    <w:rsid w:val="001A3223"/>
    <w:rsid w:val="00266659"/>
    <w:rsid w:val="003A4631"/>
    <w:rsid w:val="003C1CC1"/>
    <w:rsid w:val="0042717E"/>
    <w:rsid w:val="004A7289"/>
    <w:rsid w:val="005F5C5A"/>
    <w:rsid w:val="00634D57"/>
    <w:rsid w:val="008206FD"/>
    <w:rsid w:val="00843055"/>
    <w:rsid w:val="008820E7"/>
    <w:rsid w:val="008D3A3F"/>
    <w:rsid w:val="009C7813"/>
    <w:rsid w:val="00A12953"/>
    <w:rsid w:val="00AB760D"/>
    <w:rsid w:val="00AD3CD2"/>
    <w:rsid w:val="00B2188A"/>
    <w:rsid w:val="00B328A3"/>
    <w:rsid w:val="00B558C9"/>
    <w:rsid w:val="00C83B14"/>
    <w:rsid w:val="00C87BC0"/>
    <w:rsid w:val="00D348B6"/>
    <w:rsid w:val="00D94014"/>
    <w:rsid w:val="00E57BB5"/>
    <w:rsid w:val="00E60F15"/>
    <w:rsid w:val="32723E07"/>
    <w:rsid w:val="34633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7"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2188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218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2188A"/>
    <w:rPr>
      <w:sz w:val="18"/>
      <w:szCs w:val="18"/>
    </w:rPr>
  </w:style>
  <w:style w:type="character" w:customStyle="1" w:styleId="Char">
    <w:name w:val="页脚 Char"/>
    <w:basedOn w:val="a0"/>
    <w:link w:val="a3"/>
    <w:uiPriority w:val="99"/>
    <w:semiHidden/>
    <w:qFormat/>
    <w:rsid w:val="00B218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&amp;#x5085;&amp;#x82D7;</cp:lastModifiedBy>
  <cp:revision>2</cp:revision>
  <cp:lastPrinted>2021-09-10T01:12:00Z</cp:lastPrinted>
  <dcterms:created xsi:type="dcterms:W3CDTF">2021-09-30T01:43:00Z</dcterms:created>
  <dcterms:modified xsi:type="dcterms:W3CDTF">2021-09-30T01:43:00Z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E6F6D28A2B2B4ADD8A1F44A2A4ED8FB3</vt:lpwstr>
  </property>
</Properties>
</file>